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73</w:t>
      </w:r>
    </w:p>
    <w:p>
      <w:r>
        <w:t>Bundesgericht (BGE), 1982-08-18, DE</w:t>
      </w:r>
    </w:p>
    <w:p>
      <w:r>
        <w:rPr>
          <w:b/>
        </w:rPr>
        <w:t xml:space="preserve">Quelle: </w:t>
      </w:r>
      <w:r>
        <w:t>https://mcp.opencaselaw.ch/entscheid/bge_109 II 73</w:t>
      </w:r>
    </w:p>
    <w:p>
      <w:r>
        <w:t>FR: ATF 109 II 73</w:t>
      </w:r>
    </w:p>
    <w:p>
      <w:r>
        <w:t>IT: DTF 109 II 73</w:t>
      </w:r>
    </w:p>
    <w:p>
      <w:pPr>
        <w:pStyle w:val="Heading2"/>
      </w:pPr>
      <w:r>
        <w:t>Regeste</w:t>
      </w:r>
    </w:p>
    <w:p>
      <w:r>
        <w:t>Regeste Zuständigkeit des Richters des Unfallortes für Zivilklagen aus Motorfahrzeug- und Fahrradunfällen, Art. 84 SVG. Von Art. 84 SVG werden alle zivilrechtlichen Klagen erfasst, die ihren direkten Grund im Unfallgeschehen haben und nach haftpflichtrechtlichen Gesichtspunkten zu beurteilen sind. Darunter fällt auch die Klage, mit der bereits bezahlter Schadenersatz wegen eines behaupteten Irrtums über die Rechtslage bei einem Unfall zurückgefordert wird.</w:t>
      </w:r>
    </w:p>
    <w:p>
      <w:pPr>
        <w:pStyle w:val="Heading2"/>
      </w:pPr>
      <w:r>
        <w:t>Erwägungen</w:t>
      </w:r>
    </w:p>
    <w:p>
      <w:r>
        <w:rPr>
          <w:b/>
        </w:rPr>
        <w:t>E. 1</w:t>
      </w:r>
    </w:p>
    <w:p>
      <w:r>
        <w:t>Der Beschwerdeführer bringt ausschliesslich vor, das Obergericht habe die Gerichtsstandsbestimmung des Art. 84 SVG willkürlich angewendet. Gemäss Art. 68 Abs. 1 lit. b OG kann die Verletzung von Vorschriften des Bundesrechts über die örtliche Zuständigkeit mit der Nichtigkeitsbeschwerde geltend gemacht BGE 109 II 73 S. 75 werden. Die staatsrechtliche Beschwerde ist in diesem Fall unzulässig ( Art. 84 Abs. 2 OG ). Da aber die Rüge des Beschwerdeführers auch den Vorwurf einschliesst, das Obergericht habe Art. 84 SVG verletzt, ist seine Eingabe als Nichtigkeitsbeschwerde entgegenzunehmen.</w:t>
      </w:r>
    </w:p>
    <w:p>
      <w:r>
        <w:rPr>
          <w:b/>
        </w:rPr>
        <w:t>E. 2</w:t>
      </w:r>
    </w:p>
    <w:p>
      <w:r>
        <w:t>Nach Art. 84 SVG sind Zivilklagen aus Motorfahrzeug- und Fahrradunfällen beim Richter des Unfallortes anzubringen. Mit dieser gegenüber dem früher geltenden Art. 45 MFG erheblich erweiterten Fassung sollten nach einheitlicher Rechtslehre möglichst alle zivilrechtlichen Streitigkeiten erfasst werden, die ihren direkten Grund im Unfallgeschehen haben und nach haftpflichtrechtlichen Gesichtspunkten zu beurteilen sind (OFTINGER, Schweizerisches Haftpflichtrecht, 3. Aufl., Bd. II/2, S. 686 ff.; BUSSY, SJK 921, S. 2 ff.; BUSSY/RUSCONI, Code suisse de la circulation routière, N. 1.1-2.7 zu Art. 84 SVG ). Lediglich bei Klagen, die ihren Klagegrund nicht aus dem Unfallgeschehen herleiten und bei deren Beurteilung nicht in erster Linie haftpflichtrechtliche, sondern versicherungsrechtliche Gesichtspunkte massgebend sind, stellen die angeführten Autoren die Anwendbarkeit von Art. 84 SVG teilweise in Frage, wobei aber darauf hingewiesen wird, dass diese Auslegung zu einer uneinheitlichen Regelung führe, die dem Willen des Gesetzgebers zuwiderlaufe. Wie es sich damit verhält, kann hier offen bleiben. Es besteht kein Grund, eine Klage, wie sie im vorliegenden Fall zur Beurteilung steht, von der Regel des Art. 84 SVG auszunehmen. Der Beschwerdeführer, der seinen Rückforderungsanspruch auf Rechtsirrtum stützt, muss mit seiner Klage zunächst dartun, dass der Unfallhergang in haftpflichtrechtlicher Hinsicht keine Verantwortlichkeit seinerseits begründet. Erst wenn das feststeht, hat er überdies nachzuweisen, dass er dem Beschwerdegegner den Schaden irrtümlich ersetzt hat. In erster Linie und zur Hauptsache hängt die Klage demnach mit dem Unfallgeschehen zusammen, und sie ist nach den haftpflichtrechtlichen Vorschriften des Strassenverkehrsgesetzes zu beurteilen.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